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Pdq2pgselectionanchorcontainer"/>
        <w:spacing w:lineRule="auto" w:line="360" w:before="280" w:after="280"/>
        <w:jc w:val="both"/>
        <w:rPr>
          <w:rStyle w:val="Strong"/>
          <w:rFonts w:ascii="Arial" w:hAnsi="Arial" w:cs="Arial"/>
          <w:b w:val="false"/>
          <w:b w:val="false"/>
          <w:sz w:val="18"/>
          <w:szCs w:val="18"/>
        </w:rPr>
      </w:pPr>
      <w:r>
        <w:rPr>
          <w:rFonts w:cs="Arial" w:ascii="Arial" w:hAnsi="Arial"/>
          <w:sz w:val="18"/>
          <w:szCs w:val="18"/>
        </w:rPr>
        <w:t>Ata da Reunião Ordinária do Conselho Municipal de Saúde</w:t>
      </w:r>
      <w:r>
        <w:rPr>
          <w:rFonts w:cs="Arial" w:ascii="Arial" w:hAnsi="Arial"/>
          <w:bCs/>
          <w:sz w:val="18"/>
          <w:szCs w:val="18"/>
        </w:rPr>
        <w:t xml:space="preserve">, realizada aos dezessete dias do mês de agosto de dois mil e vinte e seis, às quinze horas, no Salão Azul da Secretaria Municipal de Saúde, situado à Avenida Doutor Flávio Rocha, nº 4.780, Jardim Redentor, Franca – São Paulo. O Presidente do Conselho Municipal de Saúde, Sr. </w:t>
      </w:r>
      <w:r>
        <w:rPr>
          <w:rFonts w:cs="Arial" w:ascii="Arial" w:hAnsi="Arial"/>
          <w:b/>
          <w:bCs/>
          <w:sz w:val="18"/>
          <w:szCs w:val="18"/>
        </w:rPr>
        <w:t>Cloves Plácido Barbosa</w:t>
      </w:r>
      <w:r>
        <w:rPr>
          <w:rFonts w:cs="Arial" w:ascii="Arial" w:hAnsi="Arial"/>
          <w:bCs/>
          <w:sz w:val="18"/>
          <w:szCs w:val="18"/>
        </w:rPr>
        <w:t xml:space="preserve">, iniciou os trabalhos com a verificação do quórum e, em seguida, deu continuidade à pauta da reunião. Inicialmente, foi realizada a leitura e apreciação da ata da reunião ordinária do mês de julho, previamente encaminhada aos conselheiros. Não havendo manifestações ou solicitações de alteração, a ata foi considerada </w:t>
      </w:r>
      <w:r>
        <w:rPr>
          <w:rFonts w:cs="Arial" w:ascii="Arial" w:hAnsi="Arial"/>
          <w:b/>
          <w:bCs/>
          <w:sz w:val="18"/>
          <w:szCs w:val="18"/>
        </w:rPr>
        <w:t>aprovada</w:t>
      </w:r>
      <w:r>
        <w:rPr>
          <w:rFonts w:cs="Arial" w:ascii="Arial" w:hAnsi="Arial"/>
          <w:bCs/>
          <w:sz w:val="18"/>
          <w:szCs w:val="18"/>
        </w:rPr>
        <w:t xml:space="preserve"> pelos presentes.</w:t>
      </w:r>
      <w:r>
        <w:rPr>
          <w:sz w:val="18"/>
          <w:szCs w:val="18"/>
        </w:rPr>
        <w:t xml:space="preserve"> </w:t>
      </w:r>
      <w:r>
        <w:rPr>
          <w:rFonts w:cs="Arial" w:ascii="Arial" w:hAnsi="Arial"/>
          <w:bCs/>
          <w:sz w:val="18"/>
          <w:szCs w:val="18"/>
        </w:rPr>
        <w:t xml:space="preserve">Na sequência, foi apresentada pela Sra. </w:t>
      </w:r>
      <w:r>
        <w:rPr>
          <w:rFonts w:cs="Arial" w:ascii="Arial" w:hAnsi="Arial"/>
          <w:b/>
          <w:bCs/>
          <w:sz w:val="18"/>
          <w:szCs w:val="18"/>
        </w:rPr>
        <w:t>Hezilmara</w:t>
      </w:r>
      <w:r>
        <w:rPr>
          <w:rFonts w:cs="Arial" w:ascii="Arial" w:hAnsi="Arial"/>
          <w:bCs/>
          <w:sz w:val="18"/>
          <w:szCs w:val="18"/>
        </w:rPr>
        <w:t xml:space="preserve"> a proposta de realização de </w:t>
      </w:r>
      <w:r>
        <w:rPr>
          <w:rFonts w:cs="Arial" w:ascii="Arial" w:hAnsi="Arial"/>
          <w:b/>
          <w:bCs/>
          <w:sz w:val="18"/>
          <w:szCs w:val="18"/>
        </w:rPr>
        <w:t>ajustes técnicos nas metas do Plano Municipal de Saúde 2026–2029</w:t>
      </w:r>
      <w:r>
        <w:rPr>
          <w:rFonts w:cs="Arial" w:ascii="Arial" w:hAnsi="Arial"/>
          <w:bCs/>
          <w:sz w:val="18"/>
          <w:szCs w:val="18"/>
        </w:rPr>
        <w:t xml:space="preserve">, em razão de alterações na legislação e de nova orientação técnica do Ministério da Saúde, encaminhada previamente aos conselheiros. Foi esclarecido que o Plano Municipal de Saúde possui programação para o período de quatro anos e que, ao longo de sua execução, podem ser realizados ajustes necessários para adequação das metas à realidade do Município. Também foi informado que a Programação Anual de Saúde – PAS, que detalha as ações previstas para cada exercício dentro do Plano Municipal de Saúde, já havia sido aprovada pelo Conselho, assim como os instrumentos relacionados às audiências públicas e aos Relatórios Detalhados do Quadrimestre Anterior – RDQA. Foi explicado que, durante a elaboração da Programação Anual de Saúde para o ano de 2027, foi recebida nova orientação técnica, estabelecendo que determinados ajustes poderiam ser realizados diretamente no sistema de planejamento, reduzindo o retrabalho anteriormente necessário para atualização das metas. A alteração busca proporcionar maior precisão dos indicadores, adequação à realidade da rede municipal, melhor correspondência entre as metas previstas e a capacidade de execução dos serviços, além de permitir maior transparência dos dados. Foram apresentados três ajustes nas metas do Plano Municipal de Saúde. O primeiro refere-se à </w:t>
      </w:r>
      <w:r>
        <w:rPr>
          <w:rFonts w:cs="Arial" w:ascii="Arial" w:hAnsi="Arial"/>
          <w:b/>
          <w:bCs/>
          <w:sz w:val="18"/>
          <w:szCs w:val="18"/>
        </w:rPr>
        <w:t>Vigilância Epidemiológica e Imunização</w:t>
      </w:r>
      <w:r>
        <w:rPr>
          <w:rFonts w:cs="Arial" w:ascii="Arial" w:hAnsi="Arial"/>
          <w:bCs/>
          <w:sz w:val="18"/>
          <w:szCs w:val="18"/>
        </w:rPr>
        <w:t xml:space="preserve">, especificamente ao item 5.1.10 do Plano. A meta anteriormente estabelecida correspondia a 95% de cobertura vacinal. Foi esclarecido que a utilização de um percentual global não permitia identificar de maneira precisa quais vacinas e quais públicos estavam sendo considerados. Dessa forma, a meta passou a ser expressa em número de doses aplicadas, estabelecendo-se aproximadamente </w:t>
      </w:r>
      <w:r>
        <w:rPr>
          <w:rFonts w:cs="Arial" w:ascii="Arial" w:hAnsi="Arial"/>
          <w:b/>
          <w:bCs/>
          <w:sz w:val="18"/>
          <w:szCs w:val="18"/>
        </w:rPr>
        <w:t>800.000 doses para o período de quatro anos</w:t>
      </w:r>
      <w:r>
        <w:rPr>
          <w:rFonts w:cs="Arial" w:ascii="Arial" w:hAnsi="Arial"/>
          <w:bCs/>
          <w:sz w:val="18"/>
          <w:szCs w:val="18"/>
        </w:rPr>
        <w:t xml:space="preserve">, correspondendo a aproximadamente 200.000 doses por ano. Segundo explicado, o novo parâmetro possibilita demonstrar com maior fidelidade o trabalho realizado pelas salas de vacinação e pela rede de frio municipal, além de permitir maior precisão no acompanhamento das ações de imunização. O segundo ajuste refere-se à </w:t>
      </w:r>
      <w:r>
        <w:rPr>
          <w:rFonts w:cs="Arial" w:ascii="Arial" w:hAnsi="Arial"/>
          <w:b/>
          <w:bCs/>
          <w:sz w:val="18"/>
          <w:szCs w:val="18"/>
        </w:rPr>
        <w:t>Assistência Farmacêutica</w:t>
      </w:r>
      <w:r>
        <w:rPr>
          <w:rFonts w:cs="Arial" w:ascii="Arial" w:hAnsi="Arial"/>
          <w:bCs/>
          <w:sz w:val="18"/>
          <w:szCs w:val="18"/>
        </w:rPr>
        <w:t xml:space="preserve">, no item 3.11. A meta anteriormente estabelecida previa aproximadamente </w:t>
      </w:r>
      <w:r>
        <w:rPr>
          <w:rFonts w:cs="Arial" w:ascii="Arial" w:hAnsi="Arial"/>
          <w:b/>
          <w:bCs/>
          <w:sz w:val="18"/>
          <w:szCs w:val="18"/>
        </w:rPr>
        <w:t>70 milhões de unidades por ano, totalizando 282 milhões no quadriênio</w:t>
      </w:r>
      <w:r>
        <w:rPr>
          <w:rFonts w:cs="Arial" w:ascii="Arial" w:hAnsi="Arial"/>
          <w:bCs/>
          <w:sz w:val="18"/>
          <w:szCs w:val="18"/>
        </w:rPr>
        <w:t xml:space="preserve">. Após a revisão, a meta passou a ser de aproximadamente </w:t>
      </w:r>
      <w:r>
        <w:rPr>
          <w:rFonts w:cs="Arial" w:ascii="Arial" w:hAnsi="Arial"/>
          <w:b/>
          <w:bCs/>
          <w:sz w:val="18"/>
          <w:szCs w:val="18"/>
        </w:rPr>
        <w:t>48 milhões de unidades por ano, totalizando 192 milhões no quadriênio</w:t>
      </w:r>
      <w:r>
        <w:rPr>
          <w:rFonts w:cs="Arial" w:ascii="Arial" w:hAnsi="Arial"/>
          <w:bCs/>
          <w:sz w:val="18"/>
          <w:szCs w:val="18"/>
        </w:rPr>
        <w:t xml:space="preserve">. Foi esclarecido que o número anteriormente previsto reunia diferentes tipos de fornecimento, incluindo medicamentos relacionados a demandas judiciais, fraldas e outros itens, o que resultava em uma meta superdimensionada. Com o ajuste, passou-se a considerar exclusivamente os itens relacionados ao abastecimento oficial sob responsabilidade do Município, buscando refletir de forma mais adequada a realidade da assistência farmacêutica municipal. As demandas judiciais e outros fornecimentos específicos permanecerão segregados para fins de acompanhamento. O terceiro ajuste refere-se à </w:t>
      </w:r>
      <w:r>
        <w:rPr>
          <w:rFonts w:cs="Arial" w:ascii="Arial" w:hAnsi="Arial"/>
          <w:b/>
          <w:bCs/>
          <w:sz w:val="18"/>
          <w:szCs w:val="18"/>
        </w:rPr>
        <w:t>Saúde da Mulher, Saúde Sexual e Reprodutiva</w:t>
      </w:r>
      <w:r>
        <w:rPr>
          <w:rFonts w:cs="Arial" w:ascii="Arial" w:hAnsi="Arial"/>
          <w:bCs/>
          <w:sz w:val="18"/>
          <w:szCs w:val="18"/>
        </w:rPr>
        <w:t xml:space="preserve">, no item 1.1.16. A meta anteriormente estabelecida previa </w:t>
      </w:r>
      <w:r>
        <w:rPr>
          <w:rFonts w:cs="Arial" w:ascii="Arial" w:hAnsi="Arial"/>
          <w:b/>
          <w:bCs/>
          <w:sz w:val="18"/>
          <w:szCs w:val="18"/>
        </w:rPr>
        <w:t>75.000 consultas anuais</w:t>
      </w:r>
      <w:r>
        <w:rPr>
          <w:rFonts w:cs="Arial" w:ascii="Arial" w:hAnsi="Arial"/>
          <w:bCs/>
          <w:sz w:val="18"/>
          <w:szCs w:val="18"/>
        </w:rPr>
        <w:t xml:space="preserve">, sendo considerada superdimensionada diante da capacidade real registrada no sistema de atenção básica. Após análise das informações disponíveis e considerando as mulheres efetivamente cadastradas no sistema, a meta foi ajustada para </w:t>
      </w:r>
      <w:r>
        <w:rPr>
          <w:rFonts w:cs="Arial" w:ascii="Arial" w:hAnsi="Arial"/>
          <w:b/>
          <w:bCs/>
          <w:sz w:val="18"/>
          <w:szCs w:val="18"/>
        </w:rPr>
        <w:t>18.000 consultas anuais, totalizando 72.000 consultas no quadriênio</w:t>
      </w:r>
      <w:r>
        <w:rPr>
          <w:rFonts w:cs="Arial" w:ascii="Arial" w:hAnsi="Arial"/>
          <w:bCs/>
          <w:sz w:val="18"/>
          <w:szCs w:val="18"/>
        </w:rPr>
        <w:t xml:space="preserve">. Foi esclarecido que o novo número busca refletir a população efetivamente cadastrada e a capacidade real de atendimento da rede municipal. Após a apresentação, foi esclarecido aos conselheiros que os ajustes são necessários para a conclusão da Programação Anual de Saúde de 2027 e para a atualização dos instrumentos de planejamento no sistema utilizado pelo Governo Federal. Foi informado ainda que, após a aprovação do Conselho, a deliberação e a respectiva ata seriam anexadas ao sistema para formalização dos ajustes. Aberta a palavra aos conselheiros e visitantes para esclarecimentos, não foram apresentadas objeções à proposta. Colocada em votação, </w:t>
      </w:r>
      <w:r>
        <w:rPr>
          <w:rFonts w:cs="Arial" w:ascii="Arial" w:hAnsi="Arial"/>
          <w:b/>
          <w:bCs/>
          <w:sz w:val="18"/>
          <w:szCs w:val="18"/>
        </w:rPr>
        <w:t>a proposta de ajustes técnicos nas metas do Plano Municipal de Saúde 2026–2029 foi aprovada pelos presentes</w:t>
      </w:r>
      <w:r>
        <w:rPr>
          <w:rFonts w:cs="Arial" w:ascii="Arial" w:hAnsi="Arial"/>
          <w:bCs/>
          <w:sz w:val="18"/>
          <w:szCs w:val="18"/>
        </w:rPr>
        <w:t xml:space="preserve">, ficando a Secretaria Municipal de Saúde responsável pela adoção das providências necessárias para atualização dos instrumentos de planejamento. Dando continuidade à pauta, foi apresentada a proposta de </w:t>
      </w:r>
      <w:r>
        <w:rPr>
          <w:rFonts w:cs="Arial" w:ascii="Arial" w:hAnsi="Arial"/>
          <w:b/>
          <w:bCs/>
          <w:sz w:val="18"/>
          <w:szCs w:val="18"/>
        </w:rPr>
        <w:t>adoção de tabela diferenciada para procedimentos e consultas de telemedicina</w:t>
      </w:r>
      <w:r>
        <w:rPr>
          <w:rFonts w:cs="Arial" w:ascii="Arial" w:hAnsi="Arial"/>
          <w:bCs/>
          <w:sz w:val="18"/>
          <w:szCs w:val="18"/>
        </w:rPr>
        <w:t xml:space="preserve">, referente à teleconsulta médica na atenção especializada. Foi informado que a apresentação estava sendo realizada em razão da ausência da responsável pelo documento, que teve um problema pessoal e não pôde permanecer na reunião. Foi realizada a leitura do documento encaminhado ao Conselho, referente ao processo nº 26.228/2022, aberto para credenciamento de procedimentos diversos constantes da tabela SUS, dentre os quais se encontra o procedimento de teleconsulta médica na atenção especializada. Foi esclarecido que, no referido processo, não houve empresas interessadas em se credenciar para a prestação de serviços de teleconsulta médica especializada pelos valores constantes da tabela SUS, situação que inviabilizou a contratação nos moldes inicialmente previstos. Foi ressaltada a necessidade de ampliar e garantir o acesso da população aos atendimentos médicos especializados, considerando a existência de demanda reprimida e filas de espera para diversas especialidades. Também foi informado que o Município de Franca disponibiliza atendimentos de diversas especialidades em seus ambulatórios próprios, porém a capacidade instalada não é suficiente para atender integralmente a demanda existente, resultando em filas e aumento do tempo de espera. Foi destacada ainda a dificuldade de composição de equipes e contratação de determinados profissionais médicos por meio de concursos públicos, em razão da reduzida disponibilidade de profissionais e do baixo interesse em determinados vínculos. Nesse contexto, a utilização da </w:t>
      </w:r>
      <w:r>
        <w:rPr>
          <w:rFonts w:cs="Arial" w:ascii="Arial" w:hAnsi="Arial"/>
          <w:b/>
          <w:bCs/>
          <w:sz w:val="18"/>
          <w:szCs w:val="18"/>
        </w:rPr>
        <w:t>telessaúde</w:t>
      </w:r>
      <w:r>
        <w:rPr>
          <w:rFonts w:cs="Arial" w:ascii="Arial" w:hAnsi="Arial"/>
          <w:bCs/>
          <w:sz w:val="18"/>
          <w:szCs w:val="18"/>
        </w:rPr>
        <w:t xml:space="preserve"> foi apresentada como estratégia complementar para ampliar e qualificar a assistência, possibilitando o acesso da população a profissionais médicos especializados por meio de tecnologias de informação e comunicação, especialmente nas áreas em que existe dificuldade de provimento ou elevada demanda. Foram mencionadas as normas do Ministério da Saúde relacionadas à telessaúde e à utilização de tecnologias de informação e comunicação na assistência remota, incluindo a necessidade de utilização de plataformas digitais, observância da privacidade, confidencialidade, proteção de dados e segurança das informações, bem como o registro dos atendimentos nos prontuários clínicos. Também foi esclarecido que a adoção de valores diferenciados deverá observar as normas do SUS e utilizar recursos próprios municipais para eventual complementação financeira, não sendo utilizados recursos federais para essa finalidade. A proposta apresentada considera que a futura contratação não compreenderá apenas o ato médico isolado, mas uma </w:t>
      </w:r>
      <w:r>
        <w:rPr>
          <w:rFonts w:cs="Arial" w:ascii="Arial" w:hAnsi="Arial"/>
          <w:b/>
          <w:bCs/>
          <w:sz w:val="18"/>
          <w:szCs w:val="18"/>
        </w:rPr>
        <w:t>solução integrada de telessaúde</w:t>
      </w:r>
      <w:r>
        <w:rPr>
          <w:rFonts w:cs="Arial" w:ascii="Arial" w:hAnsi="Arial"/>
          <w:bCs/>
          <w:sz w:val="18"/>
          <w:szCs w:val="18"/>
        </w:rPr>
        <w:t xml:space="preserve">, incluindo plataforma tecnológica, infraestrutura necessária à realização das teleconsultas, mecanismos de agendamento e gerenciamento dos atendimentos, registro das consultas, emissão e disponibilização de relatórios, acompanhamento e gestão dos atendimentos, suporte operacional e demais recursos tecnológicos e administrativos necessários, além da disponibilização de profissionais médicos habilitados. Foi esclarecido que os valores resultantes da pesquisa de mercado realizada pela Administração constituem referenciais máximos estimados para a futura licitação, não representando necessariamente os valores que serão efetivamente contratados, uma vez que o processo licitatório terá como critério de julgamento o menor preço, observados os requisitos técnicos, assistenciais e de qualidade estabelecidos no edital e no termo de referência. Foram apresentados os valores referentes aos grupos de especialidades. Para as especialidades do </w:t>
      </w:r>
      <w:r>
        <w:rPr>
          <w:rFonts w:cs="Arial" w:ascii="Arial" w:hAnsi="Arial"/>
          <w:b/>
          <w:bCs/>
          <w:sz w:val="18"/>
          <w:szCs w:val="18"/>
        </w:rPr>
        <w:t>Grupo 1</w:t>
      </w:r>
      <w:r>
        <w:rPr>
          <w:rFonts w:cs="Arial" w:ascii="Arial" w:hAnsi="Arial"/>
          <w:bCs/>
          <w:sz w:val="18"/>
          <w:szCs w:val="18"/>
        </w:rPr>
        <w:t xml:space="preserve">, compreendendo vascular, otorrinolaringologia, ortopedia, dermatologia, cirurgia plástica, endocrinologia e proctologia, foi apresentado o valor de pesquisa de mercado de </w:t>
      </w:r>
      <w:r>
        <w:rPr>
          <w:rFonts w:cs="Arial" w:ascii="Arial" w:hAnsi="Arial"/>
          <w:b/>
          <w:bCs/>
          <w:sz w:val="18"/>
          <w:szCs w:val="18"/>
        </w:rPr>
        <w:t>R$ 134,33</w:t>
      </w:r>
      <w:r>
        <w:rPr>
          <w:rFonts w:cs="Arial" w:ascii="Arial" w:hAnsi="Arial"/>
          <w:bCs/>
          <w:sz w:val="18"/>
          <w:szCs w:val="18"/>
        </w:rPr>
        <w:t xml:space="preserve">, sendo considerado o valor de </w:t>
      </w:r>
      <w:r>
        <w:rPr>
          <w:rFonts w:cs="Arial" w:ascii="Arial" w:hAnsi="Arial"/>
          <w:b/>
          <w:bCs/>
          <w:sz w:val="18"/>
          <w:szCs w:val="18"/>
        </w:rPr>
        <w:t>R$ 10,00 da tabela SUS</w:t>
      </w:r>
      <w:r>
        <w:rPr>
          <w:rFonts w:cs="Arial" w:ascii="Arial" w:hAnsi="Arial"/>
          <w:bCs/>
          <w:sz w:val="18"/>
          <w:szCs w:val="18"/>
        </w:rPr>
        <w:t xml:space="preserve"> e a complementação municipal de </w:t>
      </w:r>
      <w:r>
        <w:rPr>
          <w:rFonts w:cs="Arial" w:ascii="Arial" w:hAnsi="Arial"/>
          <w:b/>
          <w:bCs/>
          <w:sz w:val="18"/>
          <w:szCs w:val="18"/>
        </w:rPr>
        <w:t>R$ 124,33</w:t>
      </w:r>
      <w:r>
        <w:rPr>
          <w:rFonts w:cs="Arial" w:ascii="Arial" w:hAnsi="Arial"/>
          <w:bCs/>
          <w:sz w:val="18"/>
          <w:szCs w:val="18"/>
        </w:rPr>
        <w:t xml:space="preserve">. Para as especialidades do </w:t>
      </w:r>
      <w:r>
        <w:rPr>
          <w:rFonts w:cs="Arial" w:ascii="Arial" w:hAnsi="Arial"/>
          <w:b/>
          <w:bCs/>
          <w:sz w:val="18"/>
          <w:szCs w:val="18"/>
        </w:rPr>
        <w:t>Grupo 2</w:t>
      </w:r>
      <w:r>
        <w:rPr>
          <w:rFonts w:cs="Arial" w:ascii="Arial" w:hAnsi="Arial"/>
          <w:bCs/>
          <w:sz w:val="18"/>
          <w:szCs w:val="18"/>
        </w:rPr>
        <w:t xml:space="preserve">, compreendendo neurologia e psiquiatria, foi apresentado o valor de </w:t>
      </w:r>
      <w:r>
        <w:rPr>
          <w:rFonts w:cs="Arial" w:ascii="Arial" w:hAnsi="Arial"/>
          <w:b/>
          <w:bCs/>
          <w:sz w:val="18"/>
          <w:szCs w:val="18"/>
        </w:rPr>
        <w:t>R$ 199,66</w:t>
      </w:r>
      <w:r>
        <w:rPr>
          <w:rFonts w:cs="Arial" w:ascii="Arial" w:hAnsi="Arial"/>
          <w:bCs/>
          <w:sz w:val="18"/>
          <w:szCs w:val="18"/>
        </w:rPr>
        <w:t xml:space="preserve">, com R$ 10,00 da tabela SUS e complementação de </w:t>
      </w:r>
      <w:r>
        <w:rPr>
          <w:rFonts w:cs="Arial" w:ascii="Arial" w:hAnsi="Arial"/>
          <w:b/>
          <w:bCs/>
          <w:sz w:val="18"/>
          <w:szCs w:val="18"/>
        </w:rPr>
        <w:t>R$ 189,66</w:t>
      </w:r>
      <w:r>
        <w:rPr>
          <w:rFonts w:cs="Arial" w:ascii="Arial" w:hAnsi="Arial"/>
          <w:bCs/>
          <w:sz w:val="18"/>
          <w:szCs w:val="18"/>
        </w:rPr>
        <w:t xml:space="preserve">. Para o </w:t>
      </w:r>
      <w:r>
        <w:rPr>
          <w:rFonts w:cs="Arial" w:ascii="Arial" w:hAnsi="Arial"/>
          <w:b/>
          <w:bCs/>
          <w:sz w:val="18"/>
          <w:szCs w:val="18"/>
        </w:rPr>
        <w:t>Grupo 3</w:t>
      </w:r>
      <w:r>
        <w:rPr>
          <w:rFonts w:cs="Arial" w:ascii="Arial" w:hAnsi="Arial"/>
          <w:bCs/>
          <w:sz w:val="18"/>
          <w:szCs w:val="18"/>
        </w:rPr>
        <w:t xml:space="preserve">, compreendendo psiquiatria pediátrica, neurologia pediátrica e reumatologia pediátrica, foi apresentado o valor de </w:t>
      </w:r>
      <w:r>
        <w:rPr>
          <w:rFonts w:cs="Arial" w:ascii="Arial" w:hAnsi="Arial"/>
          <w:b/>
          <w:bCs/>
          <w:sz w:val="18"/>
          <w:szCs w:val="18"/>
        </w:rPr>
        <w:t>R$ 304,33</w:t>
      </w:r>
      <w:r>
        <w:rPr>
          <w:rFonts w:cs="Arial" w:ascii="Arial" w:hAnsi="Arial"/>
          <w:bCs/>
          <w:sz w:val="18"/>
          <w:szCs w:val="18"/>
        </w:rPr>
        <w:t xml:space="preserve">, com R$ 10,00 da tabela SUS e complementação de </w:t>
      </w:r>
      <w:r>
        <w:rPr>
          <w:rFonts w:cs="Arial" w:ascii="Arial" w:hAnsi="Arial"/>
          <w:b/>
          <w:bCs/>
          <w:sz w:val="18"/>
          <w:szCs w:val="18"/>
        </w:rPr>
        <w:t>R$ 294,33</w:t>
      </w:r>
      <w:r>
        <w:rPr>
          <w:rFonts w:cs="Arial" w:ascii="Arial" w:hAnsi="Arial"/>
          <w:bCs/>
          <w:sz w:val="18"/>
          <w:szCs w:val="18"/>
        </w:rPr>
        <w:t xml:space="preserve">. Para </w:t>
      </w:r>
      <w:r>
        <w:rPr>
          <w:rFonts w:cs="Arial" w:ascii="Arial" w:hAnsi="Arial"/>
          <w:b/>
          <w:bCs/>
          <w:sz w:val="18"/>
          <w:szCs w:val="18"/>
        </w:rPr>
        <w:t>clínico geral – Grupo 4</w:t>
      </w:r>
      <w:r>
        <w:rPr>
          <w:rFonts w:cs="Arial" w:ascii="Arial" w:hAnsi="Arial"/>
          <w:bCs/>
          <w:sz w:val="18"/>
          <w:szCs w:val="18"/>
        </w:rPr>
        <w:t xml:space="preserve">, foi apresentado o valor de </w:t>
      </w:r>
      <w:r>
        <w:rPr>
          <w:rFonts w:cs="Arial" w:ascii="Arial" w:hAnsi="Arial"/>
          <w:b/>
          <w:bCs/>
          <w:sz w:val="18"/>
          <w:szCs w:val="18"/>
        </w:rPr>
        <w:t>R$ 90,33</w:t>
      </w:r>
      <w:r>
        <w:rPr>
          <w:rFonts w:cs="Arial" w:ascii="Arial" w:hAnsi="Arial"/>
          <w:bCs/>
          <w:sz w:val="18"/>
          <w:szCs w:val="18"/>
        </w:rPr>
        <w:t xml:space="preserve">, com R$ 10,00 da tabela SUS e complementação de </w:t>
      </w:r>
      <w:r>
        <w:rPr>
          <w:rFonts w:cs="Arial" w:ascii="Arial" w:hAnsi="Arial"/>
          <w:b/>
          <w:bCs/>
          <w:sz w:val="18"/>
          <w:szCs w:val="18"/>
        </w:rPr>
        <w:t>R$ 80,33</w:t>
      </w:r>
      <w:r>
        <w:rPr>
          <w:rFonts w:cs="Arial" w:ascii="Arial" w:hAnsi="Arial"/>
          <w:bCs/>
          <w:sz w:val="18"/>
          <w:szCs w:val="18"/>
        </w:rPr>
        <w:t xml:space="preserve">. Durante a discussão, os conselheiros questionaram sobre o funcionamento da telemedicina, a estrutura necessária para os atendimentos, a forma de participação dos profissionais de saúde, a possibilidade de atendimento por telefone ou videochamada, a emissão de receitas, os encaminhamentos e a segurança dos pacientes. Foi esclarecido que, inicialmente, as teleconsultas serão realizadas </w:t>
      </w:r>
      <w:r>
        <w:rPr>
          <w:rFonts w:cs="Arial" w:ascii="Arial" w:hAnsi="Arial"/>
          <w:b/>
          <w:bCs/>
          <w:sz w:val="18"/>
          <w:szCs w:val="18"/>
        </w:rPr>
        <w:t>nas unidades de saúde do Município</w:t>
      </w:r>
      <w:r>
        <w:rPr>
          <w:rFonts w:cs="Arial" w:ascii="Arial" w:hAnsi="Arial"/>
          <w:bCs/>
          <w:sz w:val="18"/>
          <w:szCs w:val="18"/>
        </w:rPr>
        <w:t xml:space="preserve">, mediante videochamada, com a utilização de computador, câmera e equipamento de áudio, contando com a presença e acompanhamento de um profissional de saúde. O paciente não precisará possuir celular ou computador próprio para ter acesso ao serviço nessa primeira etapa. Foi explicado que o atendimento será previamente agendado e que o profissional de saúde presente na unidade realizará os procedimentos necessários antes da consulta, como aferição de pressão arterial, temperatura e demais informações pertinentes à pré-consulta. Durante o atendimento, o médico poderá realizar a avaliação, emitir receita, solicitar exames, realizar encaminhamentos ou orientar o paciente a procurar um serviço de urgência ou emergência quando a situação não puder ser adequadamente conduzida por meio da teleconsulta. Foi ressaltado que a telemedicina será utilizada como </w:t>
      </w:r>
      <w:r>
        <w:rPr>
          <w:rFonts w:cs="Arial" w:ascii="Arial" w:hAnsi="Arial"/>
          <w:b/>
          <w:bCs/>
          <w:sz w:val="18"/>
          <w:szCs w:val="18"/>
        </w:rPr>
        <w:t>serviço complementar à assistência presencial</w:t>
      </w:r>
      <w:r>
        <w:rPr>
          <w:rFonts w:cs="Arial" w:ascii="Arial" w:hAnsi="Arial"/>
          <w:bCs/>
          <w:sz w:val="18"/>
          <w:szCs w:val="18"/>
        </w:rPr>
        <w:t xml:space="preserve">, não tendo como objetivo substituir os médicos e demais profissionais que atuam na rede municipal. A intenção é ampliar a oferta de consultas e proporcionar uma alternativa de acesso aos pacientes, principalmente diante das filas e da dificuldade de contratação de determinadas especialidades. Também foi explicado que, em uma etapa posterior, poderá ser avaliada a possibilidade de o paciente realizar o acesso diretamente de sua residência, por meio de aplicativo ou outra solução tecnológica, dependendo da avaliação dos resultados da primeira fase de implantação e da adesão da população. Durante os debates, foram apresentados questionamentos sobre os valores considerados elevados para algumas especialidades. A equipe técnica esclareceu que os valores foram obtidos por meio de pesquisa de mercado e que os grupos foram separados de acordo com as especialidades e os respectivos valores praticados no mercado. Foi ressaltado ainda que os valores apresentados são referenciais para a licitação e poderão ser reduzidos durante a disputa entre as empresas participantes. Foi informado que a contratação deverá contemplar uma única solução integrada, incluindo tecnologia, agendamento, profissionais médicos, registros dos atendimentos, relatórios, suporte e gestão operacional, possibilitando maior padronização, continuidade, rastreabilidade, segurança e responsabilização pela execução dos serviços. Os conselheiros também discutiram a possibilidade de participação de universidades, hospitais e outras instituições na prestação dos serviços. Foi esclarecido que os profissionais deverão comprovar a formação e a especialização exigidas para cada área, além de cumprir os requisitos técnicos, fiscais, financeiros e administrativos previstos no processo de contratação. Foi destacada a possibilidade de a telessaúde contribuir para a redução das filas e para a ampliação do acesso aos profissionais especializados, especialmente diante das dificuldades de contratação enfrentadas atualmente pelo Município. Também foram relatadas experiências anteriores de utilização de teleatendimento durante a pandemia, demonstrando que a tecnologia pode ser utilizada como ferramenta complementar de assistência. Após os esclarecimentos, o Presidente colocou em votação a proposta de adoção de valores diferenciados para a realização das teleconsultas médicas. </w:t>
      </w:r>
      <w:r>
        <w:rPr>
          <w:rFonts w:cs="Arial" w:ascii="Arial" w:hAnsi="Arial"/>
          <w:b/>
          <w:bCs/>
          <w:sz w:val="18"/>
          <w:szCs w:val="18"/>
        </w:rPr>
        <w:t>Não havendo manifestação contrária, a proposta foi aprovada pelos presentes</w:t>
      </w:r>
      <w:r>
        <w:rPr>
          <w:rFonts w:cs="Arial" w:ascii="Arial" w:hAnsi="Arial"/>
          <w:bCs/>
          <w:sz w:val="18"/>
          <w:szCs w:val="18"/>
        </w:rPr>
        <w:t xml:space="preserve">, ficando a Secretaria Municipal de Saúde autorizada a dar continuidade às providências administrativas e ao processo licitatório, observando a legislação vigente, as normas do SUS e as disposições orçamentárias e financeiras. Nos informes gerais, o Presidente informou sobre a continuidade dos trabalhos relacionados à </w:t>
      </w:r>
      <w:r>
        <w:rPr>
          <w:rFonts w:cs="Arial" w:ascii="Arial" w:hAnsi="Arial"/>
          <w:b/>
          <w:bCs/>
          <w:sz w:val="18"/>
          <w:szCs w:val="18"/>
        </w:rPr>
        <w:t>recomposição do Conselho Municipal de Saúde</w:t>
      </w:r>
      <w:r>
        <w:rPr>
          <w:rFonts w:cs="Arial" w:ascii="Arial" w:hAnsi="Arial"/>
          <w:bCs/>
          <w:sz w:val="18"/>
          <w:szCs w:val="18"/>
        </w:rPr>
        <w:t xml:space="preserve">, destacando a necessidade de preenchimento das vagas existentes nos diferentes segmentos. Foi registrada a participação de novos representantes e mencionada a presença do Sr. </w:t>
      </w:r>
      <w:r>
        <w:rPr>
          <w:rFonts w:cs="Arial" w:ascii="Arial" w:hAnsi="Arial"/>
          <w:b/>
          <w:bCs/>
          <w:sz w:val="18"/>
          <w:szCs w:val="18"/>
        </w:rPr>
        <w:t>Aldo César</w:t>
      </w:r>
      <w:r>
        <w:rPr>
          <w:rFonts w:cs="Arial" w:ascii="Arial" w:hAnsi="Arial"/>
          <w:bCs/>
          <w:sz w:val="18"/>
          <w:szCs w:val="18"/>
        </w:rPr>
        <w:t xml:space="preserve">, que demonstrou interesse em colaborar com os trabalhos do Conselho e representar o segmento sindical. Foi informado que serão adotadas as providências necessárias para formalização dos novos representantes por meio de portaria e que serão realizados novos contatos e chamamentos para preenchimento das vagas remanescentes. Na oportunidade, o Presidente propôs que os diferentes segmentos representados no Conselho Municipal de Saúde realizem, de forma organizada, </w:t>
      </w:r>
      <w:r>
        <w:rPr>
          <w:rFonts w:cs="Arial" w:ascii="Arial" w:hAnsi="Arial"/>
          <w:b/>
          <w:bCs/>
          <w:sz w:val="18"/>
          <w:szCs w:val="18"/>
        </w:rPr>
        <w:t>apresentações sobre os serviços desenvolvidos pelas entidades e instituições que representam</w:t>
      </w:r>
      <w:r>
        <w:rPr>
          <w:rFonts w:cs="Arial" w:ascii="Arial" w:hAnsi="Arial"/>
          <w:bCs/>
          <w:sz w:val="18"/>
          <w:szCs w:val="18"/>
        </w:rPr>
        <w:t xml:space="preserve">, possibilitando aos demais conselheiros conhecerem melhor as ações realizadas, as necessidades da população e as políticas públicas desenvolvidas em cada área. Foi sugerido que cada segmento solicite previamente à Secretaria Executiva do Conselho, por meio da Sra. Mônica, a inclusão da apresentação na pauta de uma das próximas reuniões. Foi ressaltada a importância de os conselheiros conhecerem diretamente os serviços prestados pelos diferentes segmentos e entidades parceiras do Município, considerando que existem diversas ações em desenvolvimento na área da saúde que nem sempre são conhecidas por todos. Em seguida, foram prestadas informações sobre ações do Ministério da Saúde relacionadas à ampliação do acesso a especialistas e sobre a disponibilização de uma </w:t>
      </w:r>
      <w:r>
        <w:rPr>
          <w:rFonts w:cs="Arial" w:ascii="Arial" w:hAnsi="Arial"/>
          <w:b/>
          <w:bCs/>
          <w:sz w:val="18"/>
          <w:szCs w:val="18"/>
        </w:rPr>
        <w:t>unidade móvel de saúde da mulher</w:t>
      </w:r>
      <w:r>
        <w:rPr>
          <w:rFonts w:cs="Arial" w:ascii="Arial" w:hAnsi="Arial"/>
          <w:bCs/>
          <w:sz w:val="18"/>
          <w:szCs w:val="18"/>
        </w:rPr>
        <w:t xml:space="preserve"> para atendimento em Franca e região. Foi informado que a unidade móvel realizará exames, incluindo mamografia e ultrassonografia das mamas, priorizando inicialmente pacientes que já se encontram aguardando atendimento na rede municipal. A previsão informada foi de atendimento das </w:t>
      </w:r>
      <w:r>
        <w:rPr>
          <w:rFonts w:cs="Arial" w:ascii="Arial" w:hAnsi="Arial"/>
          <w:b/>
          <w:bCs/>
          <w:sz w:val="18"/>
          <w:szCs w:val="18"/>
        </w:rPr>
        <w:t>8h às 18h, com aproximadamente 60 pacientes por dia</w:t>
      </w:r>
      <w:r>
        <w:rPr>
          <w:rFonts w:cs="Arial" w:ascii="Arial" w:hAnsi="Arial"/>
          <w:bCs/>
          <w:sz w:val="18"/>
          <w:szCs w:val="18"/>
        </w:rPr>
        <w:t xml:space="preserve">, durante o período de permanência da unidade no Município. Também foram realizados informes relacionados à </w:t>
      </w:r>
      <w:r>
        <w:rPr>
          <w:rFonts w:cs="Arial" w:ascii="Arial" w:hAnsi="Arial"/>
          <w:b/>
          <w:bCs/>
          <w:sz w:val="18"/>
          <w:szCs w:val="18"/>
        </w:rPr>
        <w:t>vacinação</w:t>
      </w:r>
      <w:r>
        <w:rPr>
          <w:rFonts w:cs="Arial" w:ascii="Arial" w:hAnsi="Arial"/>
          <w:bCs/>
          <w:sz w:val="18"/>
          <w:szCs w:val="18"/>
        </w:rPr>
        <w:t xml:space="preserve">, destacando-se a importância da atualização das vacinas de crianças e adultos e da conscientização da população diante do reaparecimento de doenças imunopreveníveis. Foi ressaltada a necessidade de que os conselheiros contribuam para orientar a população sobre a importância da vacinação e da procura pelos serviços de saúde. Durante os informes finais, foram ainda apresentadas considerações sobre o uso da tecnologia no acompanhamento de usuários dos serviços de saúde e assistência, destacando-se a possibilidade de utilização de sistemas para monitoramento de sinais, armazenamento de informações, geração de alertas e comunicação entre profissionais responsáveis pelo acompanhamento dos usuários. Por fim, o Presidente agradeceu a presença de todos, ressaltando a importância da participação dos conselheiros e da divulgação das ações realizadas pelos diferentes segmentos representados no Conselho Municipal de Saúde. Informou que os interessados em realizar apresentações nas próximas reuniões deverão encaminhar previamente a solicitação para organização da pauta. </w:t>
      </w:r>
      <w:r>
        <w:rPr>
          <w:rStyle w:val="Strong"/>
          <w:rFonts w:cs="Arial" w:ascii="Arial" w:hAnsi="Arial"/>
          <w:b w:val="false"/>
          <w:sz w:val="18"/>
          <w:szCs w:val="18"/>
        </w:rPr>
        <w:t>Nada mais a tratar, eu, Kaylla Aparecida Pires Benedito, redigi esta ata, que, se aprovada, será assinada. Franca, 17 de agosto de 2026.</w:t>
      </w:r>
    </w:p>
    <w:p>
      <w:pPr>
        <w:pStyle w:val="Pdq2pgselectionanchorcontainer"/>
        <w:spacing w:lineRule="auto" w:line="360"/>
        <w:jc w:val="both"/>
        <w:rPr>
          <w:rStyle w:val="Strong"/>
          <w:rFonts w:ascii="Arial" w:hAnsi="Arial" w:cs="Arial"/>
          <w:b w:val="false"/>
          <w:b w:val="false"/>
          <w:sz w:val="18"/>
          <w:szCs w:val="18"/>
        </w:rPr>
      </w:pPr>
      <w:r>
        <w:rPr>
          <w:rFonts w:cs="Arial" w:ascii="Arial" w:hAnsi="Arial"/>
          <w:b w:val="false"/>
          <w:sz w:val="18"/>
          <w:szCs w:val="18"/>
        </w:rPr>
      </w:r>
    </w:p>
    <w:p>
      <w:pPr>
        <w:pStyle w:val="Pdq2pgselectionanchorcontainer"/>
        <w:spacing w:lineRule="auto" w:line="360" w:beforeAutospacing="0" w:before="0" w:afterAutospacing="0" w:after="0"/>
        <w:jc w:val="both"/>
        <w:rPr>
          <w:rFonts w:ascii="Arial" w:hAnsi="Arial" w:cs="Arial"/>
          <w:bCs/>
          <w:sz w:val="18"/>
          <w:szCs w:val="18"/>
        </w:rPr>
      </w:pPr>
      <w:r>
        <w:rPr>
          <w:rFonts w:cs="Arial" w:ascii="Arial" w:hAnsi="Arial"/>
          <w:bCs/>
          <w:sz w:val="18"/>
          <w:szCs w:val="18"/>
        </w:rPr>
      </w:r>
    </w:p>
    <w:p>
      <w:pPr>
        <w:pStyle w:val="Normal"/>
        <w:spacing w:lineRule="auto" w:line="360"/>
        <w:rPr>
          <w:rFonts w:ascii="Arial" w:hAnsi="Arial" w:cs="Arial"/>
          <w:sz w:val="18"/>
          <w:szCs w:val="18"/>
        </w:rPr>
      </w:pPr>
      <w:r>
        <w:rPr>
          <w:rFonts w:cs="Arial" w:ascii="Arial" w:hAnsi="Arial"/>
          <w:sz w:val="18"/>
          <w:szCs w:val="18"/>
        </w:rPr>
        <w:t xml:space="preserve">               </w:t>
      </w:r>
      <w:r>
        <w:rPr>
          <w:rFonts w:cs="Arial" w:ascii="Arial" w:hAnsi="Arial"/>
          <w:sz w:val="18"/>
          <w:szCs w:val="18"/>
        </w:rPr>
        <w:t>Cloves Plácido Barbosa                                              Kaylla Aparecida Pires Benedito</w:t>
      </w:r>
    </w:p>
    <w:p>
      <w:pPr>
        <w:pStyle w:val="Normal"/>
        <w:spacing w:lineRule="auto" w:line="360"/>
        <w:rPr/>
      </w:pPr>
      <w:r>
        <w:rPr>
          <w:rFonts w:cs="Arial" w:ascii="Arial" w:hAnsi="Arial"/>
          <w:sz w:val="18"/>
          <w:szCs w:val="18"/>
        </w:rPr>
        <w:t>Presidente do Conselho Municipal de Saúde                   Secretária do Conselho Municipal de Saúde</w:t>
      </w:r>
    </w:p>
    <w:sectPr>
      <w:headerReference w:type="default" r:id="rId2"/>
      <w:footerReference w:type="default" r:id="rId3"/>
      <w:type w:val="nextPage"/>
      <w:pgSz w:w="11906" w:h="16838"/>
      <w:pgMar w:left="1701" w:right="1701" w:header="708" w:top="1417" w:footer="138" w:bottom="1417" w:gutter="0"/>
      <w:lnNumType w:countBy="1" w:restart="continuous"/>
      <w:pgNumType w:start="1"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roman"/>
    <w:pitch w:val="variable"/>
  </w:font>
  <w:font w:name="Arial">
    <w:charset w:val="00"/>
    <w:family w:val="roman"/>
    <w:pitch w:val="variable"/>
  </w:font>
  <w:font w:name="Liberation Sans">
    <w:altName w:val="Arial"/>
    <w:charset w:val="00"/>
    <w:family w:val="swiss"/>
    <w:pitch w:val="variable"/>
  </w:font>
  <w:font w:name="Georgia">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enter" w:pos="4419" w:leader="none"/>
        <w:tab w:val="right" w:pos="8838" w:leader="none"/>
      </w:tabs>
      <w:jc w:val="center"/>
      <w:rPr>
        <w:rFonts w:ascii="Arial" w:hAnsi="Arial" w:eastAsia="Arial" w:cs="Arial"/>
        <w:color w:val="17365D"/>
        <w:sz w:val="20"/>
        <w:szCs w:val="20"/>
      </w:rPr>
    </w:pPr>
    <w:r>
      <w:rPr>
        <w:rFonts w:eastAsia="Arial" w:cs="Arial" w:ascii="Arial" w:hAnsi="Arial"/>
        <w:color w:val="17365D"/>
        <w:sz w:val="20"/>
        <w:szCs w:val="20"/>
      </w:rPr>
      <w:t xml:space="preserve">Av. Doutor Flávio Rocha, 4780 – Jardim Redentor – Franca/SP CEP 14405 600  </w:t>
    </w:r>
  </w:p>
  <w:p>
    <w:pPr>
      <w:pStyle w:val="Normal"/>
      <w:tabs>
        <w:tab w:val="center" w:pos="4419" w:leader="none"/>
        <w:tab w:val="right" w:pos="8838" w:leader="none"/>
      </w:tabs>
      <w:jc w:val="center"/>
      <w:rPr/>
    </w:pPr>
    <w:r>
      <w:rPr>
        <w:rFonts w:eastAsia="Arial" w:cs="Arial" w:ascii="Arial" w:hAnsi="Arial"/>
        <w:color w:val="000080"/>
        <w:sz w:val="20"/>
        <w:szCs w:val="20"/>
      </w:rPr>
      <w:t>FONE: (16)3711-9401 - 3706-8476  -  monicateixeira@franca.sp.gov.br</w:t>
    </w:r>
  </w:p>
  <w:p>
    <w:pPr>
      <w:pStyle w:val="Normal"/>
      <w:tabs>
        <w:tab w:val="center" w:pos="4419" w:leader="none"/>
        <w:tab w:val="right" w:pos="8838" w:leader="none"/>
      </w:tabs>
      <w:jc w:val="center"/>
      <w:rPr>
        <w:rFonts w:ascii="Arial" w:hAnsi="Arial" w:eastAsia="Arial" w:cs="Arial"/>
        <w:color w:val="000080"/>
        <w:sz w:val="20"/>
        <w:szCs w:val="20"/>
      </w:rPr>
    </w:pPr>
    <w:r>
      <w:rPr>
        <w:rFonts w:eastAsia="Arial" w:cs="Arial" w:ascii="Arial" w:hAnsi="Arial"/>
        <w:color w:val="000080"/>
        <w:sz w:val="20"/>
        <w:szCs w:val="20"/>
      </w:rPr>
    </w:r>
  </w:p>
  <w:p>
    <w:pPr>
      <w:pStyle w:val="Normal"/>
      <w:tabs>
        <w:tab w:val="center" w:pos="4252" w:leader="none"/>
        <w:tab w:val="right" w:pos="8504" w:leader="none"/>
      </w:tabs>
      <w:rPr>
        <w:rFonts w:ascii="Calibri" w:hAnsi="Calibri" w:eastAsia="Calibri" w:cs="Calibri"/>
        <w:color w:val="000000"/>
        <w:sz w:val="22"/>
        <w:szCs w:val="22"/>
      </w:rPr>
    </w:pPr>
    <w:r>
      <w:rPr>
        <w:rFonts w:eastAsia="Calibri" w:cs="Calibri" w:ascii="Calibri" w:hAnsi="Calibri"/>
        <w:color w:val="000000"/>
        <w:sz w:val="22"/>
        <w:szCs w:val="22"/>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enter" w:pos="4419" w:leader="none"/>
        <w:tab w:val="right" w:pos="8838" w:leader="none"/>
      </w:tabs>
      <w:jc w:val="center"/>
      <w:rPr>
        <w:rFonts w:ascii="Arial" w:hAnsi="Arial" w:eastAsia="Arial" w:cs="Arial"/>
        <w:b/>
        <w:b/>
        <w:color w:val="365F91"/>
        <w:sz w:val="32"/>
        <w:szCs w:val="32"/>
      </w:rPr>
    </w:pPr>
    <w:r>
      <mc:AlternateContent>
        <mc:Choice Requires="wps">
          <w:drawing>
            <wp:anchor behindDoc="1" distT="0" distB="0" distL="0" distR="0" simplePos="0" locked="0" layoutInCell="1" allowOverlap="1" relativeHeight="6" wp14:anchorId="3CE1F4D0">
              <wp:simplePos x="0" y="0"/>
              <wp:positionH relativeFrom="column">
                <wp:posOffset>-889635</wp:posOffset>
              </wp:positionH>
              <wp:positionV relativeFrom="paragraph">
                <wp:posOffset>-344805</wp:posOffset>
              </wp:positionV>
              <wp:extent cx="1760220" cy="1021080"/>
              <wp:effectExtent l="0" t="76200" r="99060" b="19050"/>
              <wp:wrapNone/>
              <wp:docPr id="1" name="Retângulo 1"/>
              <a:graphic xmlns:a="http://schemas.openxmlformats.org/drawingml/2006/main">
                <a:graphicData uri="http://schemas.microsoft.com/office/word/2010/wordprocessingShape">
                  <wps:wsp>
                    <wps:cNvSpPr/>
                    <wps:spPr>
                      <a:xfrm>
                        <a:off x="0" y="0"/>
                        <a:ext cx="1759680" cy="1020600"/>
                      </a:xfrm>
                      <a:prstGeom prst="rect">
                        <a:avLst/>
                      </a:prstGeom>
                      <a:solidFill>
                        <a:srgbClr val="99ccff"/>
                      </a:solidFill>
                      <a:ln w="9360">
                        <a:noFill/>
                      </a:ln>
                      <a:effectLst>
                        <a:outerShdw algn="ctr" dir="18957703" dist="106165" rotWithShape="0">
                          <a:srgbClr val="808080">
                            <a:alpha val="50000"/>
                          </a:srgbClr>
                        </a:outerShdw>
                      </a:effectLst>
                    </wps:spPr>
                    <wps:style>
                      <a:lnRef idx="0"/>
                      <a:fillRef idx="0"/>
                      <a:effectRef idx="0"/>
                      <a:fontRef idx="minor"/>
                    </wps:style>
                    <wps:txbx>
                      <w:txbxContent>
                        <w:p>
                          <w:pPr>
                            <w:pStyle w:val="Contedodoquadro"/>
                            <w:rPr>
                              <w:sz w:val="40"/>
                              <w:szCs w:val="52"/>
                              <w:lang w:val="en-US"/>
                            </w:rPr>
                          </w:pPr>
                          <w:r>
                            <w:rPr>
                              <w:color w:val="000000"/>
                              <w:sz w:val="40"/>
                              <w:szCs w:val="52"/>
                              <w:lang w:val="en-US"/>
                            </w:rPr>
                            <w:t>CONSELHO MUNICIPAL DE SAÚDE</w:t>
                          </w:r>
                        </w:p>
                        <w:p>
                          <w:pPr>
                            <w:pStyle w:val="Contedodoquadro"/>
                            <w:spacing w:lineRule="auto" w:line="259" w:before="0" w:after="120"/>
                            <w:rPr>
                              <w:lang w:val="en-US"/>
                            </w:rPr>
                          </w:pPr>
                          <w:r>
                            <w:rPr>
                              <w:color w:val="000000"/>
                              <w:lang w:val="en-US"/>
                            </w:rPr>
                            <w:t xml:space="preserve"> </w:t>
                          </w:r>
                          <w:r>
                            <w:rPr>
                              <w:color w:val="000000"/>
                              <w:lang w:val="en-US"/>
                            </w:rPr>
                            <w:t>MUNICIPAL DE SAÚ</w:t>
                          </w:r>
                        </w:p>
                      </w:txbxContent>
                    </wps:txbx>
                    <wps:bodyPr>
                      <a:noAutofit/>
                    </wps:bodyPr>
                  </wps:wsp>
                </a:graphicData>
              </a:graphic>
            </wp:anchor>
          </w:drawing>
        </mc:Choice>
        <mc:Fallback>
          <w:pict>
            <v:rect id="shape_0" ID="Retângulo 1" fillcolor="#99ccff" stroked="f" style="position:absolute;margin-left:-70.05pt;margin-top:-27.15pt;width:138.5pt;height:80.3pt" wp14:anchorId="3CE1F4D0">
              <w10:wrap type="square"/>
              <v:fill o:detectmouseclick="t" type="solid" color2="#663300"/>
              <v:stroke color="#3465a4" weight="9360" joinstyle="round" endcap="flat"/>
              <v:shadow on="t" obscured="f" color="gray"/>
              <v:textbox>
                <w:txbxContent>
                  <w:p>
                    <w:pPr>
                      <w:pStyle w:val="Contedodoquadro"/>
                      <w:rPr>
                        <w:sz w:val="40"/>
                        <w:szCs w:val="52"/>
                        <w:lang w:val="en-US"/>
                      </w:rPr>
                    </w:pPr>
                    <w:r>
                      <w:rPr>
                        <w:color w:val="000000"/>
                        <w:sz w:val="40"/>
                        <w:szCs w:val="52"/>
                        <w:lang w:val="en-US"/>
                      </w:rPr>
                      <w:t>CONSELHO MUNICIPAL DE SAÚDE</w:t>
                    </w:r>
                  </w:p>
                  <w:p>
                    <w:pPr>
                      <w:pStyle w:val="Contedodoquadro"/>
                      <w:spacing w:lineRule="auto" w:line="259" w:before="0" w:after="120"/>
                      <w:rPr>
                        <w:lang w:val="en-US"/>
                      </w:rPr>
                    </w:pPr>
                    <w:r>
                      <w:rPr>
                        <w:color w:val="000000"/>
                        <w:lang w:val="en-US"/>
                      </w:rPr>
                      <w:t xml:space="preserve"> </w:t>
                    </w:r>
                    <w:r>
                      <w:rPr>
                        <w:color w:val="000000"/>
                        <w:lang w:val="en-US"/>
                      </w:rPr>
                      <w:t>MUNICIPAL DE SAÚ</w:t>
                    </w:r>
                  </w:p>
                </w:txbxContent>
              </v:textbox>
            </v:rect>
          </w:pict>
        </mc:Fallback>
      </mc:AlternateContent>
    </w:r>
    <w:r>
      <w:rPr>
        <w:rFonts w:eastAsia="Arial" w:cs="Arial" w:ascii="Arial" w:hAnsi="Arial"/>
        <w:b/>
        <w:color w:val="365F91"/>
        <w:sz w:val="32"/>
        <w:szCs w:val="32"/>
      </w:rPr>
      <w:t xml:space="preserve">         </w:t>
    </w:r>
    <w:r>
      <w:rPr>
        <w:rFonts w:eastAsia="Arial" w:cs="Arial" w:ascii="Arial" w:hAnsi="Arial"/>
        <w:b/>
        <w:color w:val="365F91"/>
        <w:sz w:val="32"/>
        <w:szCs w:val="32"/>
      </w:rPr>
      <w:t>CONSELHO MUNICIPAL DE SAÚDE</w:t>
    </w:r>
  </w:p>
  <w:p>
    <w:pPr>
      <w:pStyle w:val="Normal"/>
      <w:pBdr>
        <w:bottom w:val="single" w:sz="18" w:space="9" w:color="548DD4"/>
      </w:pBdr>
      <w:tabs>
        <w:tab w:val="center" w:pos="4419" w:leader="none"/>
        <w:tab w:val="right" w:pos="8838" w:leader="none"/>
      </w:tabs>
      <w:jc w:val="center"/>
      <w:rPr>
        <w:rFonts w:ascii="Arial" w:hAnsi="Arial" w:eastAsia="Arial" w:cs="Arial"/>
        <w:b/>
        <w:b/>
        <w:color w:val="365F91"/>
      </w:rPr>
    </w:pPr>
    <w:r>
      <w:rPr>
        <w:rFonts w:eastAsia="Arial" w:cs="Arial" w:ascii="Arial" w:hAnsi="Arial"/>
        <w:b/>
        <w:color w:val="365F91"/>
      </w:rPr>
      <w:t xml:space="preserve">           </w:t>
    </w:r>
    <w:r>
      <w:rPr>
        <w:rFonts w:eastAsia="Arial" w:cs="Arial" w:ascii="Arial" w:hAnsi="Arial"/>
        <w:b/>
        <w:color w:val="365F91"/>
      </w:rPr>
      <w:t>FRANCA/SP</w:t>
    </w:r>
  </w:p>
  <w:p>
    <w:pPr>
      <w:pStyle w:val="Normal"/>
      <w:tabs>
        <w:tab w:val="center" w:pos="4252" w:leader="none"/>
        <w:tab w:val="right" w:pos="8504" w:leader="none"/>
      </w:tabs>
      <w:rPr>
        <w:rFonts w:ascii="Calibri" w:hAnsi="Calibri" w:eastAsia="Calibri" w:cs="Calibri"/>
        <w:color w:val="000000"/>
        <w:sz w:val="22"/>
        <w:szCs w:val="22"/>
      </w:rPr>
    </w:pPr>
    <w:r>
      <w:rPr>
        <w:rFonts w:eastAsia="Calibri" w:cs="Calibri" w:ascii="Calibri" w:hAnsi="Calibri"/>
        <w:color w:val="000000"/>
        <w:sz w:val="22"/>
        <w:szCs w:val="22"/>
      </w:rPr>
    </w:r>
  </w:p>
</w:hdr>
</file>

<file path=word/settings.xml><?xml version="1.0" encoding="utf-8"?>
<w:settings xmlns:w="http://schemas.openxmlformats.org/wordprocessingml/2006/main">
  <w:zoom w:percent="13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Cs w:val="24"/>
        <w:lang w:val="pt-BR" w:eastAsia="pt-BR"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jc w:val="left"/>
    </w:pPr>
    <w:rPr>
      <w:rFonts w:ascii="Times New Roman" w:hAnsi="Times New Roman" w:eastAsia="Times New Roman" w:cs="Times New Roman"/>
      <w:color w:val="auto"/>
      <w:kern w:val="0"/>
      <w:sz w:val="24"/>
      <w:szCs w:val="24"/>
      <w:lang w:val="pt-BR" w:eastAsia="pt-BR" w:bidi="ar-SA"/>
    </w:rPr>
  </w:style>
  <w:style w:type="paragraph" w:styleId="Ttulo1">
    <w:name w:val="Heading 1"/>
    <w:basedOn w:val="Normal"/>
    <w:next w:val="Normal"/>
    <w:qFormat/>
    <w:pPr>
      <w:keepNext w:val="true"/>
      <w:keepLines/>
      <w:spacing w:before="480" w:after="120"/>
      <w:outlineLvl w:val="0"/>
    </w:pPr>
    <w:rPr>
      <w:b/>
      <w:sz w:val="48"/>
      <w:szCs w:val="48"/>
    </w:rPr>
  </w:style>
  <w:style w:type="paragraph" w:styleId="Ttulo2">
    <w:name w:val="Heading 2"/>
    <w:basedOn w:val="Normal"/>
    <w:next w:val="Normal"/>
    <w:qFormat/>
    <w:pPr>
      <w:keepNext w:val="true"/>
      <w:keepLines/>
      <w:spacing w:before="360" w:after="80"/>
      <w:outlineLvl w:val="1"/>
    </w:pPr>
    <w:rPr>
      <w:b/>
      <w:sz w:val="36"/>
      <w:szCs w:val="36"/>
    </w:rPr>
  </w:style>
  <w:style w:type="paragraph" w:styleId="Ttulo3">
    <w:name w:val="Heading 3"/>
    <w:basedOn w:val="Normal"/>
    <w:next w:val="Normal"/>
    <w:qFormat/>
    <w:pPr>
      <w:keepNext w:val="true"/>
      <w:keepLines/>
      <w:spacing w:before="280" w:after="80"/>
      <w:outlineLvl w:val="2"/>
    </w:pPr>
    <w:rPr>
      <w:b/>
      <w:sz w:val="28"/>
      <w:szCs w:val="28"/>
    </w:rPr>
  </w:style>
  <w:style w:type="paragraph" w:styleId="Ttulo4">
    <w:name w:val="Heading 4"/>
    <w:basedOn w:val="Normal"/>
    <w:next w:val="Normal"/>
    <w:qFormat/>
    <w:pPr>
      <w:keepNext w:val="true"/>
      <w:keepLines/>
      <w:spacing w:before="240" w:after="40"/>
      <w:outlineLvl w:val="3"/>
    </w:pPr>
    <w:rPr>
      <w:b/>
    </w:rPr>
  </w:style>
  <w:style w:type="paragraph" w:styleId="Ttulo5">
    <w:name w:val="Heading 5"/>
    <w:basedOn w:val="Normal"/>
    <w:next w:val="Normal"/>
    <w:qFormat/>
    <w:pPr>
      <w:keepNext w:val="true"/>
      <w:keepLines/>
      <w:spacing w:before="220" w:after="40"/>
      <w:outlineLvl w:val="4"/>
    </w:pPr>
    <w:rPr>
      <w:b/>
      <w:sz w:val="22"/>
      <w:szCs w:val="22"/>
    </w:rPr>
  </w:style>
  <w:style w:type="paragraph" w:styleId="Ttulo6">
    <w:name w:val="Heading 6"/>
    <w:basedOn w:val="Normal"/>
    <w:next w:val="Normal"/>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TextodebaloChar" w:customStyle="1">
    <w:name w:val="Texto de balão Char"/>
    <w:basedOn w:val="DefaultParagraphFont"/>
    <w:link w:val="Textodebalo"/>
    <w:uiPriority w:val="99"/>
    <w:semiHidden/>
    <w:qFormat/>
    <w:rsid w:val="00de2c4f"/>
    <w:rPr>
      <w:rFonts w:ascii="Segoe UI" w:hAnsi="Segoe UI" w:cs="Segoe UI"/>
      <w:sz w:val="18"/>
      <w:szCs w:val="18"/>
    </w:rPr>
  </w:style>
  <w:style w:type="character" w:styleId="ListLabel1" w:customStyle="1">
    <w:name w:val="ListLabel 1"/>
    <w:qFormat/>
    <w:rPr>
      <w:rFonts w:cs="Courier New"/>
    </w:rPr>
  </w:style>
  <w:style w:type="character" w:styleId="ListLabel2" w:customStyle="1">
    <w:name w:val="ListLabel 2"/>
    <w:qFormat/>
    <w:rPr>
      <w:rFonts w:cs="Courier New"/>
    </w:rPr>
  </w:style>
  <w:style w:type="character" w:styleId="ListLabel3" w:customStyle="1">
    <w:name w:val="ListLabel 3"/>
    <w:qFormat/>
    <w:rPr>
      <w:rFonts w:cs="Courier New"/>
    </w:rPr>
  </w:style>
  <w:style w:type="character" w:styleId="ListLabel30" w:customStyle="1">
    <w:name w:val="ListLabel 30"/>
    <w:qFormat/>
    <w:rPr>
      <w:rFonts w:ascii="Arial" w:hAnsi="Arial" w:cs="Arial"/>
      <w:b/>
      <w:sz w:val="24"/>
    </w:rPr>
  </w:style>
  <w:style w:type="character" w:styleId="ListLabel31" w:customStyle="1">
    <w:name w:val="ListLabel 31"/>
    <w:qFormat/>
    <w:rPr>
      <w:rFonts w:cs="Arial"/>
      <w:b/>
      <w:sz w:val="24"/>
    </w:rPr>
  </w:style>
  <w:style w:type="character" w:styleId="ListLabel32" w:customStyle="1">
    <w:name w:val="ListLabel 32"/>
    <w:qFormat/>
    <w:rPr>
      <w:rFonts w:cs="Arial"/>
      <w:b/>
      <w:sz w:val="24"/>
    </w:rPr>
  </w:style>
  <w:style w:type="character" w:styleId="ListLabel33" w:customStyle="1">
    <w:name w:val="ListLabel 33"/>
    <w:qFormat/>
    <w:rPr>
      <w:rFonts w:cs="Arial"/>
      <w:b/>
      <w:sz w:val="24"/>
    </w:rPr>
  </w:style>
  <w:style w:type="character" w:styleId="ListLabel34" w:customStyle="1">
    <w:name w:val="ListLabel 34"/>
    <w:qFormat/>
    <w:rPr>
      <w:rFonts w:cs="Arial"/>
      <w:b/>
      <w:sz w:val="24"/>
    </w:rPr>
  </w:style>
  <w:style w:type="character" w:styleId="ListLabel35" w:customStyle="1">
    <w:name w:val="ListLabel 35"/>
    <w:qFormat/>
    <w:rPr>
      <w:rFonts w:cs="Arial"/>
      <w:b/>
      <w:sz w:val="24"/>
    </w:rPr>
  </w:style>
  <w:style w:type="character" w:styleId="ListLabel36" w:customStyle="1">
    <w:name w:val="ListLabel 36"/>
    <w:qFormat/>
    <w:rPr>
      <w:rFonts w:cs="Arial"/>
      <w:b/>
      <w:sz w:val="24"/>
    </w:rPr>
  </w:style>
  <w:style w:type="character" w:styleId="ListLabel37" w:customStyle="1">
    <w:name w:val="ListLabel 37"/>
    <w:qFormat/>
    <w:rPr>
      <w:rFonts w:cs="Arial"/>
      <w:b/>
      <w:sz w:val="24"/>
    </w:rPr>
  </w:style>
  <w:style w:type="character" w:styleId="ListLabel38" w:customStyle="1">
    <w:name w:val="ListLabel 38"/>
    <w:qFormat/>
    <w:rPr>
      <w:rFonts w:ascii="Arial" w:hAnsi="Arial" w:cs="Arial"/>
      <w:b/>
      <w:sz w:val="24"/>
    </w:rPr>
  </w:style>
  <w:style w:type="character" w:styleId="ListLabel39" w:customStyle="1">
    <w:name w:val="ListLabel 39"/>
    <w:qFormat/>
    <w:rPr>
      <w:rFonts w:ascii="Arial" w:hAnsi="Arial" w:cs="Arial"/>
      <w:b/>
      <w:sz w:val="24"/>
    </w:rPr>
  </w:style>
  <w:style w:type="character" w:styleId="ListLabel40" w:customStyle="1">
    <w:name w:val="ListLabel 40"/>
    <w:qFormat/>
    <w:rPr>
      <w:rFonts w:ascii="Arial" w:hAnsi="Arial" w:cs="Arial"/>
      <w:b/>
      <w:sz w:val="24"/>
    </w:rPr>
  </w:style>
  <w:style w:type="character" w:styleId="ListLabel41" w:customStyle="1">
    <w:name w:val="ListLabel 41"/>
    <w:qFormat/>
    <w:rPr>
      <w:rFonts w:ascii="Arial" w:hAnsi="Arial" w:cs="Arial"/>
      <w:b/>
      <w:sz w:val="24"/>
    </w:rPr>
  </w:style>
  <w:style w:type="character" w:styleId="CabealhoChar" w:customStyle="1">
    <w:name w:val="Cabeçalho Char"/>
    <w:basedOn w:val="DefaultParagraphFont"/>
    <w:link w:val="Cabealho"/>
    <w:uiPriority w:val="99"/>
    <w:qFormat/>
    <w:rsid w:val="00bd2364"/>
    <w:rPr>
      <w:sz w:val="24"/>
    </w:rPr>
  </w:style>
  <w:style w:type="character" w:styleId="Linenumber">
    <w:name w:val="line number"/>
    <w:basedOn w:val="DefaultParagraphFont"/>
    <w:uiPriority w:val="99"/>
    <w:semiHidden/>
    <w:unhideWhenUsed/>
    <w:qFormat/>
    <w:rsid w:val="004468b2"/>
    <w:rPr/>
  </w:style>
  <w:style w:type="character" w:styleId="Annotationreference">
    <w:name w:val="annotation reference"/>
    <w:basedOn w:val="DefaultParagraphFont"/>
    <w:uiPriority w:val="99"/>
    <w:semiHidden/>
    <w:unhideWhenUsed/>
    <w:qFormat/>
    <w:rsid w:val="00da0128"/>
    <w:rPr>
      <w:sz w:val="16"/>
      <w:szCs w:val="16"/>
    </w:rPr>
  </w:style>
  <w:style w:type="character" w:styleId="TextodecomentrioChar" w:customStyle="1">
    <w:name w:val="Texto de comentário Char"/>
    <w:basedOn w:val="DefaultParagraphFont"/>
    <w:link w:val="Textodecomentrio"/>
    <w:uiPriority w:val="99"/>
    <w:semiHidden/>
    <w:qFormat/>
    <w:rsid w:val="00da0128"/>
    <w:rPr>
      <w:szCs w:val="20"/>
    </w:rPr>
  </w:style>
  <w:style w:type="character" w:styleId="AssuntodocomentrioChar" w:customStyle="1">
    <w:name w:val="Assunto do comentário Char"/>
    <w:basedOn w:val="TextodecomentrioChar"/>
    <w:link w:val="Assuntodocomentrio"/>
    <w:uiPriority w:val="99"/>
    <w:semiHidden/>
    <w:qFormat/>
    <w:rsid w:val="00da0128"/>
    <w:rPr>
      <w:b/>
      <w:bCs/>
      <w:szCs w:val="20"/>
    </w:rPr>
  </w:style>
  <w:style w:type="character" w:styleId="Strong">
    <w:name w:val="Strong"/>
    <w:basedOn w:val="DefaultParagraphFont"/>
    <w:uiPriority w:val="22"/>
    <w:qFormat/>
    <w:rsid w:val="00134951"/>
    <w:rPr>
      <w:b/>
      <w:bCs/>
    </w:rPr>
  </w:style>
  <w:style w:type="character" w:styleId="ListLabel42">
    <w:name w:val="ListLabel 42"/>
    <w:qFormat/>
    <w:rPr>
      <w:rFonts w:cs="Arial"/>
      <w:b/>
      <w:sz w:val="24"/>
    </w:rPr>
  </w:style>
  <w:style w:type="character" w:styleId="Numeraodelinhas">
    <w:name w:val="Numeração de linhas"/>
    <w:rPr/>
  </w:style>
  <w:style w:type="paragraph" w:styleId="Ttulo">
    <w:name w:val="Título"/>
    <w:basedOn w:val="Normal"/>
    <w:next w:val="Corpodetexto"/>
    <w:qFormat/>
    <w:pPr>
      <w:keepNext w:val="true"/>
      <w:spacing w:before="240" w:after="120"/>
    </w:pPr>
    <w:rPr>
      <w:rFonts w:ascii="Liberation Sans" w:hAnsi="Liberation Sans" w:eastAsia="Microsoft YaHei" w:cs="Mangal"/>
      <w:sz w:val="28"/>
      <w:szCs w:val="28"/>
    </w:rPr>
  </w:style>
  <w:style w:type="paragraph" w:styleId="Corpodetexto">
    <w:name w:val="Body Text"/>
    <w:basedOn w:val="Normal"/>
    <w:pPr>
      <w:spacing w:lineRule="auto" w:line="276" w:before="0" w:after="140"/>
    </w:pPr>
    <w:rPr/>
  </w:style>
  <w:style w:type="paragraph" w:styleId="Lista">
    <w:name w:val="List"/>
    <w:basedOn w:val="Corpodetexto"/>
    <w:pPr/>
    <w:rPr>
      <w:rFonts w:cs="Mangal"/>
    </w:rPr>
  </w:style>
  <w:style w:type="paragraph" w:styleId="Legenda">
    <w:name w:val="Caption"/>
    <w:basedOn w:val="Normal"/>
    <w:qFormat/>
    <w:pPr>
      <w:suppressLineNumbers/>
      <w:spacing w:before="120" w:after="120"/>
    </w:pPr>
    <w:rPr>
      <w:rFonts w:cs="Mangal"/>
      <w:i/>
      <w:iCs/>
      <w:sz w:val="24"/>
      <w:szCs w:val="24"/>
    </w:rPr>
  </w:style>
  <w:style w:type="paragraph" w:styleId="Ndice" w:customStyle="1">
    <w:name w:val="Índice"/>
    <w:basedOn w:val="Normal"/>
    <w:qFormat/>
    <w:pPr>
      <w:suppressLineNumbers/>
    </w:pPr>
    <w:rPr>
      <w:rFonts w:cs="Mangal"/>
    </w:rPr>
  </w:style>
  <w:style w:type="paragraph" w:styleId="Ttulododocumento">
    <w:name w:val="Title"/>
    <w:basedOn w:val="Normal"/>
    <w:qFormat/>
    <w:pPr>
      <w:keepNext w:val="true"/>
      <w:spacing w:before="240" w:after="120"/>
    </w:pPr>
    <w:rPr>
      <w:rFonts w:ascii="Arial" w:hAnsi="Arial" w:eastAsia="Arial" w:cs="Arial"/>
      <w:sz w:val="28"/>
      <w:szCs w:val="28"/>
    </w:rPr>
  </w:style>
  <w:style w:type="paragraph" w:styleId="Caption">
    <w:name w:val="caption"/>
    <w:basedOn w:val="Normal"/>
    <w:qFormat/>
    <w:pPr>
      <w:suppressLineNumbers/>
      <w:spacing w:before="120" w:after="120"/>
    </w:pPr>
    <w:rPr>
      <w:rFonts w:cs="Mangal"/>
      <w:i/>
      <w:iCs/>
    </w:rPr>
  </w:style>
  <w:style w:type="paragraph" w:styleId="Subttulo">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BalloonText">
    <w:name w:val="Balloon Text"/>
    <w:basedOn w:val="Normal"/>
    <w:link w:val="TextodebaloChar"/>
    <w:uiPriority w:val="99"/>
    <w:semiHidden/>
    <w:unhideWhenUsed/>
    <w:qFormat/>
    <w:rsid w:val="00de2c4f"/>
    <w:pPr/>
    <w:rPr>
      <w:rFonts w:ascii="Segoe UI" w:hAnsi="Segoe UI" w:cs="Segoe UI"/>
      <w:sz w:val="18"/>
      <w:szCs w:val="18"/>
    </w:rPr>
  </w:style>
  <w:style w:type="paragraph" w:styleId="ListParagraph">
    <w:name w:val="List Paragraph"/>
    <w:basedOn w:val="Normal"/>
    <w:uiPriority w:val="34"/>
    <w:qFormat/>
    <w:rsid w:val="009548b7"/>
    <w:pPr>
      <w:spacing w:before="0" w:after="0"/>
      <w:ind w:left="720" w:hanging="0"/>
      <w:contextualSpacing/>
    </w:pPr>
    <w:rPr/>
  </w:style>
  <w:style w:type="paragraph" w:styleId="Cabealho">
    <w:name w:val="Header"/>
    <w:basedOn w:val="Normal"/>
    <w:link w:val="CabealhoChar"/>
    <w:uiPriority w:val="99"/>
    <w:pPr/>
    <w:rPr/>
  </w:style>
  <w:style w:type="paragraph" w:styleId="Contedodoquadro" w:customStyle="1">
    <w:name w:val="Conteúdo do quadro"/>
    <w:basedOn w:val="Normal"/>
    <w:qFormat/>
    <w:pPr/>
    <w:rPr/>
  </w:style>
  <w:style w:type="paragraph" w:styleId="Rodap">
    <w:name w:val="Footer"/>
    <w:basedOn w:val="Normal"/>
    <w:pPr/>
    <w:rPr/>
  </w:style>
  <w:style w:type="paragraph" w:styleId="Western" w:customStyle="1">
    <w:name w:val="western"/>
    <w:basedOn w:val="Normal"/>
    <w:qFormat/>
    <w:pPr>
      <w:spacing w:lineRule="auto" w:line="288" w:beforeAutospacing="1" w:after="142"/>
    </w:pPr>
    <w:rPr>
      <w:color w:val="00000A"/>
    </w:rPr>
  </w:style>
  <w:style w:type="paragraph" w:styleId="Annotationtext">
    <w:name w:val="annotation text"/>
    <w:basedOn w:val="Normal"/>
    <w:link w:val="TextodecomentrioChar"/>
    <w:uiPriority w:val="99"/>
    <w:semiHidden/>
    <w:unhideWhenUsed/>
    <w:qFormat/>
    <w:rsid w:val="00da0128"/>
    <w:pPr/>
    <w:rPr>
      <w:sz w:val="20"/>
      <w:szCs w:val="20"/>
    </w:rPr>
  </w:style>
  <w:style w:type="paragraph" w:styleId="Annotationsubject">
    <w:name w:val="annotation subject"/>
    <w:basedOn w:val="Annotationtext"/>
    <w:link w:val="AssuntodocomentrioChar"/>
    <w:uiPriority w:val="99"/>
    <w:semiHidden/>
    <w:unhideWhenUsed/>
    <w:qFormat/>
    <w:rsid w:val="00da0128"/>
    <w:pPr/>
    <w:rPr>
      <w:b/>
      <w:bCs/>
    </w:rPr>
  </w:style>
  <w:style w:type="paragraph" w:styleId="NormalWeb">
    <w:name w:val="Normal (Web)"/>
    <w:basedOn w:val="Normal"/>
    <w:uiPriority w:val="99"/>
    <w:unhideWhenUsed/>
    <w:qFormat/>
    <w:rsid w:val="00bc1bae"/>
    <w:pPr>
      <w:spacing w:beforeAutospacing="1" w:afterAutospacing="1"/>
    </w:pPr>
    <w:rPr/>
  </w:style>
  <w:style w:type="paragraph" w:styleId="Isselectedend" w:customStyle="1">
    <w:name w:val="isselectedend"/>
    <w:basedOn w:val="Normal"/>
    <w:qFormat/>
    <w:rsid w:val="00134951"/>
    <w:pPr>
      <w:spacing w:beforeAutospacing="1" w:afterAutospacing="1"/>
    </w:pPr>
    <w:rPr/>
  </w:style>
  <w:style w:type="paragraph" w:styleId="Pdq2pgselectionanchorcontainer" w:customStyle="1">
    <w:name w:val="pdq2pg_selectionanchorcontainer"/>
    <w:basedOn w:val="Normal"/>
    <w:qFormat/>
    <w:rsid w:val="005e2ab7"/>
    <w:pPr>
      <w:spacing w:beforeAutospacing="1" w:afterAutospacing="1"/>
    </w:pPr>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Application>LibreOffice/6.0.7.3$Windows_X86_64 LibreOffice_project/dc89aa7a9eabfd848af146d5086077aeed2ae4a5</Application>
  <Pages>4</Pages>
  <Words>2431</Words>
  <Characters>14866</Characters>
  <CharactersWithSpaces>17395</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2026-09-29T18:22:00Z</dcterms:created>
  <dc:creator>Ambumed06-Note</dc:creator>
  <dc:description/>
  <dc:language>pt-BR</dc:language>
  <cp:lastModifiedBy>Kaylla Pires</cp:lastModifiedBy>
  <cp:lastPrinted>2023-07-24T13:32:00Z</cp:lastPrinted>
  <dcterms:modified xsi:type="dcterms:W3CDTF">2026-09-29T18:22:00Z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